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5540"/>
        </w:tabs>
        <w:snapToGrid w:val="0"/>
        <w:ind w:right="-23"/>
        <w:jc w:val="center"/>
        <w:rPr>
          <w:rFonts w:ascii="宋体" w:hAnsi="宋体"/>
          <w:b/>
        </w:rPr>
      </w:pPr>
      <w:bookmarkStart w:id="0" w:name="OLE_LINK2"/>
      <w:bookmarkStart w:id="1" w:name="OLE_LINK1"/>
      <w:bookmarkStart w:id="2" w:name="OLE_LINK8"/>
      <w:bookmarkStart w:id="3" w:name="OLE_LINK7"/>
      <w:r>
        <w:rPr>
          <w:rFonts w:hint="eastAsia" w:ascii="宋体" w:hAnsi="宋体"/>
          <w:b/>
          <w:position w:val="-1"/>
        </w:rPr>
        <w:t xml:space="preserve">  </w:t>
      </w:r>
      <w:r>
        <w:rPr>
          <w:rFonts w:hint="eastAsia" w:ascii="宋体" w:hAnsi="宋体"/>
          <w:b/>
          <w:position w:val="-1"/>
          <w:lang w:val="en-US" w:eastAsia="zh-CN"/>
        </w:rPr>
        <w:t>河南宇天能源科技有限公司2023年11月</w:t>
      </w:r>
      <w:r>
        <w:rPr>
          <w:rFonts w:hint="eastAsia" w:ascii="宋体" w:hAnsi="宋体"/>
          <w:b/>
          <w:position w:val="-1"/>
        </w:rPr>
        <w:t>有组织</w:t>
      </w:r>
      <w:r>
        <w:rPr>
          <w:rFonts w:ascii="宋体" w:hAnsi="宋体"/>
          <w:b/>
          <w:position w:val="-1"/>
        </w:rPr>
        <w:t>废</w:t>
      </w:r>
      <w:r>
        <w:rPr>
          <w:rFonts w:hint="eastAsia" w:ascii="宋体" w:hAnsi="宋体"/>
          <w:b/>
          <w:spacing w:val="2"/>
          <w:position w:val="-1"/>
        </w:rPr>
        <w:t>气</w:t>
      </w:r>
      <w:r>
        <w:rPr>
          <w:rFonts w:ascii="宋体" w:hAnsi="宋体"/>
          <w:b/>
          <w:position w:val="-1"/>
        </w:rPr>
        <w:t>污</w:t>
      </w:r>
      <w:r>
        <w:rPr>
          <w:rFonts w:ascii="宋体" w:hAnsi="宋体"/>
          <w:b/>
          <w:spacing w:val="2"/>
          <w:position w:val="-1"/>
        </w:rPr>
        <w:t>染</w:t>
      </w:r>
      <w:r>
        <w:rPr>
          <w:rFonts w:ascii="宋体" w:hAnsi="宋体"/>
          <w:b/>
          <w:position w:val="-1"/>
        </w:rPr>
        <w:t>物</w:t>
      </w:r>
      <w:r>
        <w:rPr>
          <w:rFonts w:hint="eastAsia" w:ascii="宋体" w:hAnsi="宋体"/>
          <w:b/>
          <w:position w:val="-1"/>
          <w:lang w:eastAsia="zh-CN"/>
        </w:rPr>
        <w:t>、</w:t>
      </w:r>
      <w:r>
        <w:rPr>
          <w:rFonts w:hint="eastAsia" w:ascii="宋体" w:hAnsi="宋体"/>
          <w:b/>
          <w:position w:val="-1"/>
          <w:lang w:val="en-US" w:eastAsia="zh-CN"/>
        </w:rPr>
        <w:t>噪声</w:t>
      </w:r>
      <w:r>
        <w:rPr>
          <w:rFonts w:ascii="宋体" w:hAnsi="宋体"/>
          <w:b/>
          <w:spacing w:val="2"/>
          <w:position w:val="-1"/>
        </w:rPr>
        <w:t>排</w:t>
      </w:r>
      <w:r>
        <w:rPr>
          <w:rFonts w:ascii="宋体" w:hAnsi="宋体"/>
          <w:b/>
          <w:position w:val="-1"/>
        </w:rPr>
        <w:t>放</w:t>
      </w:r>
      <w:r>
        <w:rPr>
          <w:rFonts w:ascii="宋体" w:hAnsi="宋体"/>
          <w:b/>
          <w:spacing w:val="2"/>
          <w:position w:val="-1"/>
        </w:rPr>
        <w:t>情</w:t>
      </w:r>
      <w:r>
        <w:rPr>
          <w:rFonts w:ascii="宋体" w:hAnsi="宋体"/>
          <w:b/>
          <w:position w:val="-1"/>
        </w:rPr>
        <w:t>况</w:t>
      </w:r>
      <w:r>
        <w:rPr>
          <w:rFonts w:ascii="宋体" w:hAnsi="宋体"/>
          <w:b/>
          <w:spacing w:val="2"/>
          <w:position w:val="-1"/>
        </w:rPr>
        <w:t>手</w:t>
      </w:r>
      <w:r>
        <w:rPr>
          <w:rFonts w:ascii="宋体" w:hAnsi="宋体"/>
          <w:b/>
          <w:position w:val="-1"/>
        </w:rPr>
        <w:t>工</w:t>
      </w:r>
      <w:r>
        <w:rPr>
          <w:rFonts w:ascii="宋体" w:hAnsi="宋体"/>
          <w:b/>
          <w:spacing w:val="2"/>
          <w:position w:val="-1"/>
        </w:rPr>
        <w:t>监</w:t>
      </w:r>
      <w:r>
        <w:rPr>
          <w:rFonts w:ascii="宋体" w:hAnsi="宋体"/>
          <w:b/>
          <w:position w:val="-1"/>
        </w:rPr>
        <w:t>测</w:t>
      </w:r>
      <w:r>
        <w:rPr>
          <w:rFonts w:ascii="宋体" w:hAnsi="宋体"/>
          <w:b/>
          <w:spacing w:val="2"/>
          <w:position w:val="-1"/>
        </w:rPr>
        <w:t>分</w:t>
      </w:r>
      <w:r>
        <w:rPr>
          <w:rFonts w:ascii="宋体" w:hAnsi="宋体"/>
          <w:b/>
          <w:position w:val="-1"/>
        </w:rPr>
        <w:t>析</w:t>
      </w:r>
      <w:r>
        <w:rPr>
          <w:rFonts w:ascii="宋体" w:hAnsi="宋体"/>
          <w:b/>
          <w:spacing w:val="2"/>
          <w:position w:val="-1"/>
        </w:rPr>
        <w:t>结</w:t>
      </w:r>
      <w:r>
        <w:rPr>
          <w:rFonts w:ascii="宋体" w:hAnsi="宋体"/>
          <w:b/>
          <w:position w:val="-1"/>
        </w:rPr>
        <w:t>果</w:t>
      </w:r>
      <w:r>
        <w:rPr>
          <w:rFonts w:ascii="宋体" w:hAnsi="宋体"/>
          <w:b/>
          <w:spacing w:val="2"/>
          <w:position w:val="-1"/>
        </w:rPr>
        <w:t>记</w:t>
      </w:r>
      <w:r>
        <w:rPr>
          <w:rFonts w:ascii="宋体" w:hAnsi="宋体"/>
          <w:b/>
          <w:position w:val="-1"/>
        </w:rPr>
        <w:t>录</w:t>
      </w:r>
      <w:r>
        <w:rPr>
          <w:rFonts w:ascii="宋体" w:hAnsi="宋体"/>
          <w:b/>
          <w:spacing w:val="2"/>
          <w:position w:val="-1"/>
        </w:rPr>
        <w:t>信</w:t>
      </w:r>
      <w:r>
        <w:rPr>
          <w:rFonts w:ascii="宋体" w:hAnsi="宋体"/>
          <w:b/>
          <w:position w:val="-1"/>
        </w:rPr>
        <w:t>息</w:t>
      </w:r>
    </w:p>
    <w:p>
      <w:pPr>
        <w:spacing w:before="5" w:line="170" w:lineRule="exact"/>
        <w:jc w:val="left"/>
        <w:rPr>
          <w:rFonts w:ascii="宋体" w:hAnsi="宋体"/>
          <w:sz w:val="17"/>
        </w:rPr>
      </w:pPr>
    </w:p>
    <w:tbl>
      <w:tblPr>
        <w:tblStyle w:val="5"/>
        <w:tblW w:w="1453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1866"/>
        <w:gridCol w:w="638"/>
        <w:gridCol w:w="623"/>
        <w:gridCol w:w="1219"/>
        <w:gridCol w:w="1332"/>
        <w:gridCol w:w="460"/>
        <w:gridCol w:w="1278"/>
        <w:gridCol w:w="2356"/>
        <w:gridCol w:w="2019"/>
        <w:gridCol w:w="672"/>
        <w:gridCol w:w="94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3634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采样日期</w:t>
            </w:r>
          </w:p>
        </w:tc>
        <w:tc>
          <w:tcPr>
            <w:tcW w:w="3634" w:type="dxa"/>
            <w:gridSpan w:val="4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样品数量</w:t>
            </w:r>
          </w:p>
        </w:tc>
        <w:tc>
          <w:tcPr>
            <w:tcW w:w="3634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eastAsia="宋体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采样方法</w:t>
            </w:r>
          </w:p>
        </w:tc>
        <w:tc>
          <w:tcPr>
            <w:tcW w:w="3635" w:type="dxa"/>
            <w:gridSpan w:val="3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采样人姓名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3634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2023.11.23</w:t>
            </w:r>
          </w:p>
        </w:tc>
        <w:tc>
          <w:tcPr>
            <w:tcW w:w="363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eastAsia="宋体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非连续采样</w:t>
            </w:r>
          </w:p>
        </w:tc>
        <w:tc>
          <w:tcPr>
            <w:tcW w:w="36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何超、张栩</w:t>
            </w:r>
          </w:p>
        </w:tc>
      </w:tr>
      <w:bookmarkEnd w:id="0"/>
      <w:bookmarkEnd w:id="1"/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1130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  <w:t>排放口</w:t>
            </w:r>
          </w:p>
          <w:p>
            <w:pPr>
              <w:jc w:val="center"/>
              <w:rPr>
                <w:sz w:val="24"/>
              </w:rPr>
            </w:pPr>
            <w:r>
              <w:rPr>
                <w:sz w:val="18"/>
              </w:rPr>
              <w:t>编号</w:t>
            </w:r>
          </w:p>
        </w:tc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  <w:t>工况排气量</w:t>
            </w:r>
          </w:p>
          <w:p>
            <w:pPr>
              <w:jc w:val="center"/>
              <w:rPr>
                <w:sz w:val="24"/>
              </w:rPr>
            </w:pPr>
            <w:r>
              <w:rPr>
                <w:sz w:val="18"/>
              </w:rPr>
              <w:t>（m</w:t>
            </w:r>
            <w:r>
              <w:rPr>
                <w:sz w:val="18"/>
                <w:vertAlign w:val="superscript"/>
              </w:rPr>
              <w:t>3</w:t>
            </w:r>
            <w:r>
              <w:rPr>
                <w:sz w:val="18"/>
              </w:rPr>
              <w:t>/h）</w:t>
            </w:r>
          </w:p>
        </w:tc>
        <w:tc>
          <w:tcPr>
            <w:tcW w:w="12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eastAsia="宋体"/>
                <w:sz w:val="18"/>
                <w:lang w:eastAsia="zh-CN"/>
              </w:rPr>
            </w:pPr>
            <w:r>
              <w:rPr>
                <w:rFonts w:hint="eastAsia"/>
                <w:sz w:val="18"/>
                <w:lang w:eastAsia="zh-CN"/>
              </w:rPr>
              <w:t>氧量</w:t>
            </w:r>
          </w:p>
          <w:p>
            <w:pPr>
              <w:jc w:val="center"/>
              <w:rPr>
                <w:sz w:val="24"/>
              </w:rPr>
            </w:pPr>
            <w:r>
              <w:rPr>
                <w:sz w:val="18"/>
              </w:rPr>
              <w:t>（</w:t>
            </w:r>
            <w:r>
              <w:rPr>
                <w:rFonts w:hint="eastAsia"/>
                <w:sz w:val="18"/>
                <w:lang w:val="en-US" w:eastAsia="zh-CN"/>
              </w:rPr>
              <w:t>%</w:t>
            </w:r>
            <w:r>
              <w:rPr>
                <w:sz w:val="18"/>
              </w:rPr>
              <w:t>）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18"/>
              </w:rPr>
              <w:t>污染因子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  <w:lang w:eastAsia="zh-CN"/>
              </w:rPr>
              <w:t>监测</w:t>
            </w:r>
            <w:r>
              <w:rPr>
                <w:sz w:val="18"/>
              </w:rPr>
              <w:t>浓度</w:t>
            </w:r>
          </w:p>
          <w:p>
            <w:pPr>
              <w:jc w:val="center"/>
              <w:rPr>
                <w:sz w:val="24"/>
              </w:rPr>
            </w:pPr>
            <w:r>
              <w:rPr>
                <w:sz w:val="18"/>
              </w:rPr>
              <w:t>（</w:t>
            </w:r>
            <w:r>
              <w:rPr>
                <w:spacing w:val="-1"/>
                <w:sz w:val="18"/>
              </w:rPr>
              <w:t>mg</w:t>
            </w:r>
            <w:r>
              <w:rPr>
                <w:spacing w:val="1"/>
                <w:sz w:val="18"/>
              </w:rPr>
              <w:t>/</w:t>
            </w:r>
            <w:bookmarkStart w:id="4" w:name="OLE_LINK4"/>
            <w:bookmarkStart w:id="5" w:name="OLE_LINK3"/>
            <w:bookmarkStart w:id="6" w:name="OLE_LINK6"/>
            <w:bookmarkStart w:id="7" w:name="OLE_LINK5"/>
            <w:r>
              <w:rPr>
                <w:rFonts w:hint="eastAsia"/>
                <w:spacing w:val="1"/>
                <w:sz w:val="18"/>
              </w:rPr>
              <w:t>m</w:t>
            </w:r>
            <w:r>
              <w:rPr>
                <w:rFonts w:hint="eastAsia"/>
                <w:spacing w:val="1"/>
                <w:sz w:val="18"/>
                <w:vertAlign w:val="superscript"/>
              </w:rPr>
              <w:t>3</w:t>
            </w:r>
            <w:bookmarkEnd w:id="4"/>
            <w:bookmarkEnd w:id="5"/>
            <w:bookmarkEnd w:id="6"/>
            <w:bookmarkEnd w:id="7"/>
            <w:r>
              <w:rPr>
                <w:sz w:val="18"/>
              </w:rPr>
              <w:t>）</w:t>
            </w:r>
          </w:p>
        </w:tc>
        <w:tc>
          <w:tcPr>
            <w:tcW w:w="1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  <w:t>许可排放浓度限值</w:t>
            </w:r>
          </w:p>
          <w:p>
            <w:pPr>
              <w:jc w:val="center"/>
              <w:rPr>
                <w:sz w:val="24"/>
              </w:rPr>
            </w:pPr>
            <w:r>
              <w:rPr>
                <w:sz w:val="18"/>
              </w:rPr>
              <w:t>（</w:t>
            </w:r>
            <w:r>
              <w:rPr>
                <w:spacing w:val="-1"/>
                <w:sz w:val="18"/>
              </w:rPr>
              <w:t>mg</w:t>
            </w:r>
            <w:r>
              <w:rPr>
                <w:spacing w:val="1"/>
                <w:sz w:val="18"/>
              </w:rPr>
              <w:t>/</w:t>
            </w:r>
            <w:r>
              <w:rPr>
                <w:rFonts w:hint="eastAsia"/>
                <w:spacing w:val="1"/>
                <w:sz w:val="18"/>
              </w:rPr>
              <w:t xml:space="preserve"> m</w:t>
            </w:r>
            <w:r>
              <w:rPr>
                <w:rFonts w:hint="eastAsia"/>
                <w:spacing w:val="1"/>
                <w:sz w:val="18"/>
                <w:vertAlign w:val="superscript"/>
              </w:rPr>
              <w:t>3</w:t>
            </w:r>
            <w:r>
              <w:rPr>
                <w:sz w:val="18"/>
              </w:rPr>
              <w:t>）</w:t>
            </w:r>
          </w:p>
        </w:tc>
        <w:tc>
          <w:tcPr>
            <w:tcW w:w="43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18"/>
                <w:lang w:eastAsia="zh-CN"/>
              </w:rPr>
              <w:t>检测</w:t>
            </w:r>
            <w:r>
              <w:rPr>
                <w:sz w:val="18"/>
              </w:rPr>
              <w:t>方法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18"/>
              </w:rPr>
              <w:t>是否超标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eastAsia="宋体"/>
                <w:sz w:val="18"/>
                <w:lang w:val="en-US" w:eastAsia="zh-CN"/>
              </w:rPr>
            </w:pPr>
            <w:r>
              <w:rPr>
                <w:rFonts w:hint="eastAsia"/>
                <w:sz w:val="18"/>
                <w:lang w:val="en-US" w:eastAsia="zh-CN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113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导热油炉排放口</w:t>
            </w:r>
          </w:p>
        </w:tc>
        <w:tc>
          <w:tcPr>
            <w:tcW w:w="186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1610</w:t>
            </w:r>
          </w:p>
        </w:tc>
        <w:tc>
          <w:tcPr>
            <w:tcW w:w="126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3.25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颗粒物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1.6</w:t>
            </w:r>
          </w:p>
        </w:tc>
        <w:tc>
          <w:tcPr>
            <w:tcW w:w="17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43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固定污染源废气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 低浓度颗粒物的测定 重量法 HJ836-2017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</w:rPr>
              <w:t>否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1130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866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261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二氧化硫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lang w:val="en-US" w:eastAsia="zh-CN" w:bidi="ar-SA"/>
              </w:rPr>
              <w:t>1.5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固定污染源废气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 二氧化硫的测定 定电位电解法 HJ57-2017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11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86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both"/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261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jc w:val="center"/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氮氧化物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lang w:val="en-US" w:eastAsia="zh-CN" w:bidi="ar-SA"/>
              </w:rPr>
              <w:t>23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30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固定污染源废气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 氮氧化物的测定 定电位电解法 HJ693-2014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sz w:val="18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</w:tbl>
    <w:p/>
    <w:tbl>
      <w:tblPr>
        <w:tblStyle w:val="5"/>
        <w:tblW w:w="1455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1"/>
        <w:gridCol w:w="1221"/>
        <w:gridCol w:w="1221"/>
        <w:gridCol w:w="1224"/>
        <w:gridCol w:w="3663"/>
        <w:gridCol w:w="4287"/>
        <w:gridCol w:w="863"/>
        <w:gridCol w:w="85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检测项目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检测点位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昼间dB(A)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夜间dB(A)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许可排放浓度限值</w:t>
            </w:r>
          </w:p>
          <w:p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（mg/ m3）</w:t>
            </w:r>
          </w:p>
        </w:tc>
        <w:tc>
          <w:tcPr>
            <w:tcW w:w="4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测定方法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是否超标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噪声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南厂界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sz w:val="18"/>
                <w:szCs w:val="18"/>
                <w:lang w:val="en-US" w:eastAsia="zh-CN"/>
              </w:rPr>
              <w:t>54.3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sz w:val="18"/>
                <w:szCs w:val="18"/>
                <w:lang w:val="en-US" w:eastAsia="zh-CN"/>
              </w:rPr>
              <w:t>48.1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昼间：60dB(A）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夜间：50dB(A）</w:t>
            </w:r>
          </w:p>
        </w:tc>
        <w:tc>
          <w:tcPr>
            <w:tcW w:w="4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工业企业厂界环境噪声排放标准GB12348-2008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否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西厂界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sz w:val="18"/>
                <w:szCs w:val="18"/>
                <w:lang w:val="en-US" w:eastAsia="zh-CN"/>
              </w:rPr>
              <w:t>56.1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sz w:val="18"/>
                <w:szCs w:val="18"/>
                <w:lang w:val="en-US" w:eastAsia="zh-CN"/>
              </w:rPr>
              <w:t>48.9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昼间：60dB(A）</w:t>
            </w:r>
          </w:p>
          <w:p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夜间：50dB(A）</w:t>
            </w:r>
          </w:p>
        </w:tc>
        <w:tc>
          <w:tcPr>
            <w:tcW w:w="4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工业企业厂界环境噪声排放标准GB12348-2008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否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</w:tr>
    </w:tbl>
    <w:p>
      <w:pPr>
        <w:pStyle w:val="2"/>
      </w:pPr>
    </w:p>
    <w:bookmarkEnd w:id="2"/>
    <w:bookmarkEnd w:id="3"/>
    <w:p>
      <w:pPr>
        <w:pStyle w:val="2"/>
      </w:pPr>
      <w:bookmarkStart w:id="8" w:name="_GoBack"/>
      <w:bookmarkEnd w:id="8"/>
    </w:p>
    <w:sectPr>
      <w:pgSz w:w="16838" w:h="11906" w:orient="landscape"/>
      <w:pgMar w:top="1797" w:right="1440" w:bottom="1797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360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3CD8B1-4376-4AFA-9DF0-6EEAA09BE23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67</Words>
  <Characters>386</Characters>
  <Lines>3</Lines>
  <Paragraphs>1</Paragraphs>
  <TotalTime>13</TotalTime>
  <ScaleCrop>false</ScaleCrop>
  <LinksUpToDate>false</LinksUpToDate>
  <CharactersWithSpaces>452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2019-01-10T15:05:00Z</dcterms:created>
  <dc:creator>China</dc:creator>
  <cp:lastModifiedBy>缘来梦一场、</cp:lastModifiedBy>
  <dcterms:modified xsi:type="dcterms:W3CDTF">2023-12-20T08:00:49Z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33FFF4D4E39448FB917406FBD4C4F286_12</vt:lpwstr>
  </property>
</Properties>
</file>